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Default Extension="bin" ContentType="application/vnd.openxmlformats-officedocument.oleObject"/>
  <Override PartName="/word/numbering.xml" ContentType="application/vnd.openxmlformats-officedocument.wordprocessingml.numbering+xml"/>
  <Default Extension="wmf" ContentType="image/x-wmf"/>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40"/>
        <w:ind w:right="0" w:left="0" w:firstLine="900"/>
        <w:jc w:val="both"/>
        <w:rPr>
          <w:rFonts w:ascii="Times New Roman" w:hAnsi="Times New Roman" w:cs="Times New Roman" w:eastAsia="Times New Roman"/>
          <w:color w:val="000000"/>
          <w:spacing w:val="0"/>
          <w:position w:val="0"/>
          <w:sz w:val="28"/>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object w:dxaOrig="683" w:dyaOrig="926">
          <v:rect xmlns:o="urn:schemas-microsoft-com:office:office" xmlns:v="urn:schemas-microsoft-com:vml" id="rectole0000000000" style="width:34.150000pt;height:46.300000pt" o:preferrelative="t" o:ole="">
            <o:lock v:ext="edit"/>
            <v:imagedata xmlns:r="http://schemas.openxmlformats.org/officeDocument/2006/relationships" r:id="docRId1" o:title=""/>
          </v:rect>
          <o:OLEObject xmlns:r="http://schemas.openxmlformats.org/officeDocument/2006/relationships" xmlns:o="urn:schemas-microsoft-com:office:office" Type="Embed" ProgID="StaticMetafile" DrawAspect="Content" ObjectID="0000000000" ShapeID="rectole0000000000" r:id="docRId0"/>
        </w:object>
      </w:r>
    </w:p>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p>
    <w:p>
      <w:pPr>
        <w:tabs>
          <w:tab w:val="left" w:pos="1620" w:leader="none"/>
          <w:tab w:val="left" w:pos="1980" w:leader="none"/>
        </w:tabs>
        <w:spacing w:before="120" w:after="120" w:line="240"/>
        <w:ind w:right="0" w:left="0" w:firstLine="0"/>
        <w:jc w:val="center"/>
        <w:rPr>
          <w:rFonts w:ascii="Times New Roman" w:hAnsi="Times New Roman" w:cs="Times New Roman" w:eastAsia="Times New Roman"/>
          <w:b/>
          <w:caps w:val="true"/>
          <w:color w:val="auto"/>
          <w:spacing w:val="0"/>
          <w:position w:val="0"/>
          <w:sz w:val="28"/>
          <w:shd w:fill="auto" w:val="clear"/>
        </w:rPr>
      </w:pPr>
      <w:r>
        <w:rPr>
          <w:rFonts w:ascii="Times New Roman" w:hAnsi="Times New Roman" w:cs="Times New Roman" w:eastAsia="Times New Roman"/>
          <w:b/>
          <w:caps w:val="true"/>
          <w:color w:val="auto"/>
          <w:spacing w:val="0"/>
          <w:position w:val="0"/>
          <w:sz w:val="28"/>
          <w:shd w:fill="auto" w:val="clear"/>
        </w:rPr>
        <w:t xml:space="preserve">МУКАЧІВСЬКА РАЙОННА державна адміністрація</w:t>
      </w:r>
    </w:p>
    <w:p>
      <w:pPr>
        <w:tabs>
          <w:tab w:val="left" w:pos="1620" w:leader="none"/>
          <w:tab w:val="left" w:pos="1980" w:leader="none"/>
        </w:tabs>
        <w:spacing w:before="120" w:after="120" w:line="240"/>
        <w:ind w:right="0" w:left="0" w:firstLine="0"/>
        <w:jc w:val="center"/>
        <w:rPr>
          <w:rFonts w:ascii="Times New Roman" w:hAnsi="Times New Roman" w:cs="Times New Roman" w:eastAsia="Times New Roman"/>
          <w:b/>
          <w:caps w:val="true"/>
          <w:color w:val="auto"/>
          <w:spacing w:val="0"/>
          <w:position w:val="0"/>
          <w:sz w:val="28"/>
          <w:shd w:fill="auto" w:val="clear"/>
        </w:rPr>
      </w:pPr>
      <w:r>
        <w:rPr>
          <w:rFonts w:ascii="Times New Roman" w:hAnsi="Times New Roman" w:cs="Times New Roman" w:eastAsia="Times New Roman"/>
          <w:b/>
          <w:caps w:val="true"/>
          <w:color w:val="auto"/>
          <w:spacing w:val="0"/>
          <w:position w:val="0"/>
          <w:sz w:val="28"/>
          <w:shd w:fill="auto" w:val="clear"/>
        </w:rPr>
        <w:t xml:space="preserve">ЗАКАРПАТСЬКОЇ ОБЛАСТІ</w:t>
      </w:r>
    </w:p>
    <w:p>
      <w:pPr>
        <w:spacing w:before="0" w:after="0" w:line="240"/>
        <w:ind w:right="0" w:left="0" w:firstLine="0"/>
        <w:jc w:val="center"/>
        <w:rPr>
          <w:rFonts w:ascii="Times New Roman" w:hAnsi="Times New Roman" w:cs="Times New Roman" w:eastAsia="Times New Roman"/>
          <w:b/>
          <w:color w:val="auto"/>
          <w:spacing w:val="0"/>
          <w:position w:val="0"/>
          <w:sz w:val="44"/>
          <w:shd w:fill="auto" w:val="clear"/>
        </w:rPr>
      </w:pPr>
      <w:r>
        <w:rPr>
          <w:rFonts w:ascii="Times New Roman" w:hAnsi="Times New Roman" w:cs="Times New Roman" w:eastAsia="Times New Roman"/>
          <w:b/>
          <w:color w:val="auto"/>
          <w:spacing w:val="0"/>
          <w:position w:val="0"/>
          <w:sz w:val="44"/>
          <w:shd w:fill="auto" w:val="clear"/>
        </w:rPr>
        <w:t xml:space="preserve">Р</w:t>
      </w:r>
      <w:r>
        <w:rPr>
          <w:rFonts w:ascii="Times New Roman" w:hAnsi="Times New Roman" w:cs="Times New Roman" w:eastAsia="Times New Roman"/>
          <w:b/>
          <w:color w:val="auto"/>
          <w:spacing w:val="0"/>
          <w:position w:val="0"/>
          <w:sz w:val="44"/>
          <w:shd w:fill="auto" w:val="clear"/>
        </w:rPr>
        <w:t xml:space="preserve"> </w:t>
      </w:r>
      <w:r>
        <w:rPr>
          <w:rFonts w:ascii="Times New Roman" w:hAnsi="Times New Roman" w:cs="Times New Roman" w:eastAsia="Times New Roman"/>
          <w:b/>
          <w:color w:val="auto"/>
          <w:spacing w:val="0"/>
          <w:position w:val="0"/>
          <w:sz w:val="44"/>
          <w:shd w:fill="auto" w:val="clear"/>
        </w:rPr>
        <w:t xml:space="preserve">О</w:t>
      </w:r>
      <w:r>
        <w:rPr>
          <w:rFonts w:ascii="Times New Roman" w:hAnsi="Times New Roman" w:cs="Times New Roman" w:eastAsia="Times New Roman"/>
          <w:b/>
          <w:color w:val="auto"/>
          <w:spacing w:val="0"/>
          <w:position w:val="0"/>
          <w:sz w:val="44"/>
          <w:shd w:fill="auto" w:val="clear"/>
        </w:rPr>
        <w:t xml:space="preserve"> </w:t>
      </w:r>
      <w:r>
        <w:rPr>
          <w:rFonts w:ascii="Times New Roman" w:hAnsi="Times New Roman" w:cs="Times New Roman" w:eastAsia="Times New Roman"/>
          <w:b/>
          <w:color w:val="auto"/>
          <w:spacing w:val="0"/>
          <w:position w:val="0"/>
          <w:sz w:val="44"/>
          <w:shd w:fill="auto" w:val="clear"/>
        </w:rPr>
        <w:t xml:space="preserve">З</w:t>
      </w:r>
      <w:r>
        <w:rPr>
          <w:rFonts w:ascii="Times New Roman" w:hAnsi="Times New Roman" w:cs="Times New Roman" w:eastAsia="Times New Roman"/>
          <w:b/>
          <w:color w:val="auto"/>
          <w:spacing w:val="0"/>
          <w:position w:val="0"/>
          <w:sz w:val="44"/>
          <w:shd w:fill="auto" w:val="clear"/>
        </w:rPr>
        <w:t xml:space="preserve"> </w:t>
      </w:r>
      <w:r>
        <w:rPr>
          <w:rFonts w:ascii="Times New Roman" w:hAnsi="Times New Roman" w:cs="Times New Roman" w:eastAsia="Times New Roman"/>
          <w:b/>
          <w:color w:val="auto"/>
          <w:spacing w:val="0"/>
          <w:position w:val="0"/>
          <w:sz w:val="44"/>
          <w:shd w:fill="auto" w:val="clear"/>
        </w:rPr>
        <w:t xml:space="preserve">П</w:t>
      </w:r>
      <w:r>
        <w:rPr>
          <w:rFonts w:ascii="Times New Roman" w:hAnsi="Times New Roman" w:cs="Times New Roman" w:eastAsia="Times New Roman"/>
          <w:b/>
          <w:color w:val="auto"/>
          <w:spacing w:val="0"/>
          <w:position w:val="0"/>
          <w:sz w:val="44"/>
          <w:shd w:fill="auto" w:val="clear"/>
        </w:rPr>
        <w:t xml:space="preserve"> </w:t>
      </w:r>
      <w:r>
        <w:rPr>
          <w:rFonts w:ascii="Times New Roman" w:hAnsi="Times New Roman" w:cs="Times New Roman" w:eastAsia="Times New Roman"/>
          <w:b/>
          <w:color w:val="auto"/>
          <w:spacing w:val="0"/>
          <w:position w:val="0"/>
          <w:sz w:val="44"/>
          <w:shd w:fill="auto" w:val="clear"/>
        </w:rPr>
        <w:t xml:space="preserve">О</w:t>
      </w:r>
      <w:r>
        <w:rPr>
          <w:rFonts w:ascii="Times New Roman" w:hAnsi="Times New Roman" w:cs="Times New Roman" w:eastAsia="Times New Roman"/>
          <w:b/>
          <w:color w:val="auto"/>
          <w:spacing w:val="0"/>
          <w:position w:val="0"/>
          <w:sz w:val="44"/>
          <w:shd w:fill="auto" w:val="clear"/>
        </w:rPr>
        <w:t xml:space="preserve"> </w:t>
      </w:r>
      <w:r>
        <w:rPr>
          <w:rFonts w:ascii="Times New Roman" w:hAnsi="Times New Roman" w:cs="Times New Roman" w:eastAsia="Times New Roman"/>
          <w:b/>
          <w:color w:val="auto"/>
          <w:spacing w:val="0"/>
          <w:position w:val="0"/>
          <w:sz w:val="44"/>
          <w:shd w:fill="auto" w:val="clear"/>
        </w:rPr>
        <w:t xml:space="preserve">Р</w:t>
      </w:r>
      <w:r>
        <w:rPr>
          <w:rFonts w:ascii="Times New Roman" w:hAnsi="Times New Roman" w:cs="Times New Roman" w:eastAsia="Times New Roman"/>
          <w:b/>
          <w:color w:val="auto"/>
          <w:spacing w:val="0"/>
          <w:position w:val="0"/>
          <w:sz w:val="44"/>
          <w:shd w:fill="auto" w:val="clear"/>
        </w:rPr>
        <w:t xml:space="preserve"> </w:t>
      </w:r>
      <w:r>
        <w:rPr>
          <w:rFonts w:ascii="Times New Roman" w:hAnsi="Times New Roman" w:cs="Times New Roman" w:eastAsia="Times New Roman"/>
          <w:b/>
          <w:color w:val="auto"/>
          <w:spacing w:val="0"/>
          <w:position w:val="0"/>
          <w:sz w:val="44"/>
          <w:shd w:fill="auto" w:val="clear"/>
        </w:rPr>
        <w:t xml:space="preserve">Я</w:t>
      </w:r>
      <w:r>
        <w:rPr>
          <w:rFonts w:ascii="Times New Roman" w:hAnsi="Times New Roman" w:cs="Times New Roman" w:eastAsia="Times New Roman"/>
          <w:b/>
          <w:color w:val="auto"/>
          <w:spacing w:val="0"/>
          <w:position w:val="0"/>
          <w:sz w:val="44"/>
          <w:shd w:fill="auto" w:val="clear"/>
        </w:rPr>
        <w:t xml:space="preserve"> </w:t>
      </w:r>
      <w:r>
        <w:rPr>
          <w:rFonts w:ascii="Times New Roman" w:hAnsi="Times New Roman" w:cs="Times New Roman" w:eastAsia="Times New Roman"/>
          <w:b/>
          <w:color w:val="auto"/>
          <w:spacing w:val="0"/>
          <w:position w:val="0"/>
          <w:sz w:val="44"/>
          <w:shd w:fill="auto" w:val="clear"/>
        </w:rPr>
        <w:t xml:space="preserve">Д</w:t>
      </w:r>
      <w:r>
        <w:rPr>
          <w:rFonts w:ascii="Times New Roman" w:hAnsi="Times New Roman" w:cs="Times New Roman" w:eastAsia="Times New Roman"/>
          <w:b/>
          <w:color w:val="auto"/>
          <w:spacing w:val="0"/>
          <w:position w:val="0"/>
          <w:sz w:val="44"/>
          <w:shd w:fill="auto" w:val="clear"/>
        </w:rPr>
        <w:t xml:space="preserve"> </w:t>
      </w:r>
      <w:r>
        <w:rPr>
          <w:rFonts w:ascii="Times New Roman" w:hAnsi="Times New Roman" w:cs="Times New Roman" w:eastAsia="Times New Roman"/>
          <w:b/>
          <w:color w:val="auto"/>
          <w:spacing w:val="0"/>
          <w:position w:val="0"/>
          <w:sz w:val="44"/>
          <w:shd w:fill="auto" w:val="clear"/>
        </w:rPr>
        <w:t xml:space="preserve">Ж</w:t>
      </w:r>
      <w:r>
        <w:rPr>
          <w:rFonts w:ascii="Times New Roman" w:hAnsi="Times New Roman" w:cs="Times New Roman" w:eastAsia="Times New Roman"/>
          <w:b/>
          <w:color w:val="auto"/>
          <w:spacing w:val="0"/>
          <w:position w:val="0"/>
          <w:sz w:val="44"/>
          <w:shd w:fill="auto" w:val="clear"/>
        </w:rPr>
        <w:t xml:space="preserve"> </w:t>
      </w:r>
      <w:r>
        <w:rPr>
          <w:rFonts w:ascii="Times New Roman" w:hAnsi="Times New Roman" w:cs="Times New Roman" w:eastAsia="Times New Roman"/>
          <w:b/>
          <w:color w:val="auto"/>
          <w:spacing w:val="0"/>
          <w:position w:val="0"/>
          <w:sz w:val="44"/>
          <w:shd w:fill="auto" w:val="clear"/>
        </w:rPr>
        <w:t xml:space="preserve">Е</w:t>
      </w:r>
      <w:r>
        <w:rPr>
          <w:rFonts w:ascii="Times New Roman" w:hAnsi="Times New Roman" w:cs="Times New Roman" w:eastAsia="Times New Roman"/>
          <w:b/>
          <w:color w:val="auto"/>
          <w:spacing w:val="0"/>
          <w:position w:val="0"/>
          <w:sz w:val="44"/>
          <w:shd w:fill="auto" w:val="clear"/>
        </w:rPr>
        <w:t xml:space="preserve"> </w:t>
      </w:r>
      <w:r>
        <w:rPr>
          <w:rFonts w:ascii="Times New Roman" w:hAnsi="Times New Roman" w:cs="Times New Roman" w:eastAsia="Times New Roman"/>
          <w:b/>
          <w:color w:val="auto"/>
          <w:spacing w:val="0"/>
          <w:position w:val="0"/>
          <w:sz w:val="44"/>
          <w:shd w:fill="auto" w:val="clear"/>
        </w:rPr>
        <w:t xml:space="preserve">Н</w:t>
      </w:r>
      <w:r>
        <w:rPr>
          <w:rFonts w:ascii="Times New Roman" w:hAnsi="Times New Roman" w:cs="Times New Roman" w:eastAsia="Times New Roman"/>
          <w:b/>
          <w:color w:val="auto"/>
          <w:spacing w:val="0"/>
          <w:position w:val="0"/>
          <w:sz w:val="44"/>
          <w:shd w:fill="auto" w:val="clear"/>
        </w:rPr>
        <w:t xml:space="preserve"> </w:t>
      </w:r>
      <w:r>
        <w:rPr>
          <w:rFonts w:ascii="Times New Roman" w:hAnsi="Times New Roman" w:cs="Times New Roman" w:eastAsia="Times New Roman"/>
          <w:b/>
          <w:color w:val="auto"/>
          <w:spacing w:val="0"/>
          <w:position w:val="0"/>
          <w:sz w:val="44"/>
          <w:shd w:fill="auto" w:val="clear"/>
        </w:rPr>
        <w:t xml:space="preserve">Н</w:t>
      </w:r>
      <w:r>
        <w:rPr>
          <w:rFonts w:ascii="Times New Roman" w:hAnsi="Times New Roman" w:cs="Times New Roman" w:eastAsia="Times New Roman"/>
          <w:b/>
          <w:color w:val="auto"/>
          <w:spacing w:val="0"/>
          <w:position w:val="0"/>
          <w:sz w:val="44"/>
          <w:shd w:fill="auto" w:val="clear"/>
        </w:rPr>
        <w:t xml:space="preserve"> </w:t>
      </w:r>
      <w:r>
        <w:rPr>
          <w:rFonts w:ascii="Times New Roman" w:hAnsi="Times New Roman" w:cs="Times New Roman" w:eastAsia="Times New Roman"/>
          <w:b/>
          <w:color w:val="auto"/>
          <w:spacing w:val="0"/>
          <w:position w:val="0"/>
          <w:sz w:val="44"/>
          <w:shd w:fill="auto" w:val="clear"/>
        </w:rPr>
        <w:t xml:space="preserve">Я</w:t>
      </w:r>
    </w:p>
    <w:p>
      <w:pPr>
        <w:tabs>
          <w:tab w:val="left" w:pos="4962" w:leader="none"/>
        </w:tabs>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p>
    <w:p>
      <w:pPr>
        <w:tabs>
          <w:tab w:val="left" w:pos="4962" w:leader="none"/>
        </w:tabs>
        <w:spacing w:before="0" w:after="0" w:line="240"/>
        <w:ind w:right="0" w:left="0" w:firstLine="0"/>
        <w:jc w:val="center"/>
        <w:rPr>
          <w:rFonts w:ascii="Times New Roman" w:hAnsi="Times New Roman" w:cs="Times New Roman" w:eastAsia="Times New Roman"/>
          <w:color w:val="auto"/>
          <w:spacing w:val="0"/>
          <w:position w:val="0"/>
          <w:sz w:val="26"/>
          <w:shd w:fill="auto" w:val="clear"/>
        </w:rPr>
      </w:pPr>
      <w:r>
        <w:rPr>
          <w:rFonts w:ascii="Times New Roman" w:hAnsi="Times New Roman" w:cs="Times New Roman" w:eastAsia="Times New Roman"/>
          <w:color w:val="auto"/>
          <w:spacing w:val="0"/>
          <w:position w:val="0"/>
          <w:sz w:val="28"/>
          <w:shd w:fill="auto" w:val="clear"/>
        </w:rPr>
        <w:t xml:space="preserve">18.09.2020         </w:t>
      </w:r>
      <w:r>
        <w:rPr>
          <w:rFonts w:ascii="Times New Roman" w:hAnsi="Times New Roman" w:cs="Times New Roman" w:eastAsia="Times New Roman"/>
          <w:b/>
          <w:color w:val="auto"/>
          <w:spacing w:val="0"/>
          <w:position w:val="0"/>
          <w:sz w:val="28"/>
          <w:shd w:fill="auto" w:val="clear"/>
        </w:rPr>
        <w:t xml:space="preserve">               </w:t>
      </w:r>
      <w:r>
        <w:rPr>
          <w:rFonts w:ascii="Times New Roman" w:hAnsi="Times New Roman" w:cs="Times New Roman" w:eastAsia="Times New Roman"/>
          <w:b/>
          <w:color w:val="auto"/>
          <w:spacing w:val="0"/>
          <w:position w:val="0"/>
          <w:sz w:val="28"/>
          <w:shd w:fill="auto" w:val="clear"/>
        </w:rPr>
        <w:t xml:space="preserve"> </w:t>
      </w:r>
      <w:r>
        <w:rPr>
          <w:rFonts w:ascii="Times New Roman" w:hAnsi="Times New Roman" w:cs="Times New Roman" w:eastAsia="Times New Roman"/>
          <w:b/>
          <w:color w:val="auto"/>
          <w:spacing w:val="0"/>
          <w:position w:val="0"/>
          <w:sz w:val="28"/>
          <w:shd w:fill="auto" w:val="clear"/>
        </w:rPr>
        <w:t xml:space="preserve">  </w:t>
      </w:r>
      <w:r>
        <w:rPr>
          <w:rFonts w:ascii="Times New Roman" w:hAnsi="Times New Roman" w:cs="Times New Roman" w:eastAsia="Times New Roman"/>
          <w:b/>
          <w:color w:val="auto"/>
          <w:spacing w:val="0"/>
          <w:position w:val="0"/>
          <w:sz w:val="28"/>
          <w:shd w:fill="auto" w:val="clear"/>
        </w:rPr>
        <w:t xml:space="preserve">Мукачево</w:t>
      </w:r>
      <w:r>
        <w:rPr>
          <w:rFonts w:ascii="Times New Roman" w:hAnsi="Times New Roman" w:cs="Times New Roman" w:eastAsia="Times New Roman"/>
          <w:b/>
          <w:color w:val="auto"/>
          <w:spacing w:val="0"/>
          <w:position w:val="0"/>
          <w:sz w:val="28"/>
          <w:shd w:fill="auto" w:val="clear"/>
        </w:rPr>
        <w:t xml:space="preserve">         </w:t>
      </w:r>
      <w:r>
        <w:rPr>
          <w:rFonts w:ascii="Times New Roman" w:hAnsi="Times New Roman" w:cs="Times New Roman" w:eastAsia="Times New Roman"/>
          <w:b/>
          <w:color w:val="auto"/>
          <w:spacing w:val="0"/>
          <w:position w:val="0"/>
          <w:sz w:val="28"/>
          <w:shd w:fill="auto" w:val="clear"/>
        </w:rPr>
        <w:t xml:space="preserve">   </w:t>
      </w:r>
      <w:r>
        <w:rPr>
          <w:rFonts w:ascii="Times New Roman" w:hAnsi="Times New Roman" w:cs="Times New Roman" w:eastAsia="Times New Roman"/>
          <w:b/>
          <w:color w:val="auto"/>
          <w:spacing w:val="0"/>
          <w:position w:val="0"/>
          <w:sz w:val="28"/>
          <w:shd w:fill="auto" w:val="clear"/>
        </w:rPr>
        <w:t xml:space="preserve">            </w:t>
      </w:r>
      <w:r>
        <w:rPr>
          <w:rFonts w:ascii="Times New Roman" w:hAnsi="Times New Roman" w:cs="Times New Roman" w:eastAsia="Times New Roman"/>
          <w:b/>
          <w:color w:val="auto"/>
          <w:spacing w:val="0"/>
          <w:position w:val="0"/>
          <w:sz w:val="28"/>
          <w:shd w:fill="auto" w:val="clear"/>
        </w:rPr>
        <w:t xml:space="preserve">  </w:t>
      </w:r>
      <w:r>
        <w:rPr>
          <w:rFonts w:ascii="Times New Roman" w:hAnsi="Times New Roman" w:cs="Times New Roman" w:eastAsia="Times New Roman"/>
          <w:b/>
          <w:color w:val="auto"/>
          <w:spacing w:val="0"/>
          <w:position w:val="0"/>
          <w:sz w:val="28"/>
          <w:shd w:fill="auto" w:val="clear"/>
        </w:rPr>
        <w:t xml:space="preserve">    </w:t>
      </w:r>
      <w:r>
        <w:rPr>
          <w:rFonts w:ascii="Times New Roman" w:hAnsi="Times New Roman" w:cs="Times New Roman" w:eastAsia="Times New Roman"/>
          <w:b/>
          <w:color w:val="auto"/>
          <w:spacing w:val="0"/>
          <w:position w:val="0"/>
          <w:sz w:val="28"/>
          <w:shd w:fill="auto" w:val="clear"/>
        </w:rPr>
        <w:t xml:space="preserve">     </w:t>
      </w:r>
      <w:r>
        <w:rPr>
          <w:rFonts w:ascii="Segoe UI Symbol" w:hAnsi="Segoe UI Symbol" w:cs="Segoe UI Symbol" w:eastAsia="Segoe UI Symbol"/>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296</w:t>
      </w:r>
    </w:p>
    <w:p>
      <w:pPr>
        <w:spacing w:before="0" w:after="0" w:line="240"/>
        <w:ind w:right="0" w:left="0" w:firstLine="0"/>
        <w:jc w:val="center"/>
        <w:rPr>
          <w:rFonts w:ascii="Times New Roman" w:hAnsi="Times New Roman" w:cs="Times New Roman" w:eastAsia="Times New Roman"/>
          <w:color w:val="auto"/>
          <w:spacing w:val="0"/>
          <w:position w:val="0"/>
          <w:sz w:val="26"/>
          <w:shd w:fill="auto" w:val="clear"/>
        </w:rPr>
      </w:pPr>
    </w:p>
    <w:p>
      <w:pPr>
        <w:spacing w:before="0" w:after="0" w:line="240"/>
        <w:ind w:right="0" w:left="0" w:firstLine="0"/>
        <w:jc w:val="center"/>
        <w:rPr>
          <w:rFonts w:ascii="Times New Roman CYR" w:hAnsi="Times New Roman CYR" w:cs="Times New Roman CYR" w:eastAsia="Times New Roman CYR"/>
          <w:color w:val="auto"/>
          <w:spacing w:val="0"/>
          <w:position w:val="0"/>
          <w:sz w:val="28"/>
          <w:shd w:fill="auto" w:val="clear"/>
        </w:rPr>
      </w:pPr>
    </w:p>
    <w:p>
      <w:pPr>
        <w:suppressAutoHyphens w:val="true"/>
        <w:spacing w:before="0" w:after="0" w:line="240"/>
        <w:ind w:right="0" w:left="0" w:firstLine="0"/>
        <w:jc w:val="center"/>
        <w:rPr>
          <w:rFonts w:ascii="Times New Roman" w:hAnsi="Times New Roman" w:cs="Times New Roman" w:eastAsia="Times New Roman"/>
          <w:b/>
          <w:i/>
          <w:color w:val="auto"/>
          <w:spacing w:val="0"/>
          <w:position w:val="0"/>
          <w:sz w:val="28"/>
          <w:shd w:fill="auto" w:val="clear"/>
        </w:rPr>
      </w:pPr>
      <w:r>
        <w:rPr>
          <w:rFonts w:ascii="Times New Roman CYR" w:hAnsi="Times New Roman CYR" w:cs="Times New Roman CYR" w:eastAsia="Times New Roman CYR"/>
          <w:color w:val="auto"/>
          <w:spacing w:val="0"/>
          <w:position w:val="0"/>
          <w:sz w:val="28"/>
          <w:shd w:fill="auto" w:val="clear"/>
        </w:rPr>
        <w:t xml:space="preserve">           </w:t>
      </w:r>
      <w:r>
        <w:rPr>
          <w:rFonts w:ascii="Times New Roman" w:hAnsi="Times New Roman" w:cs="Times New Roman" w:eastAsia="Times New Roman"/>
          <w:b/>
          <w:i/>
          <w:color w:val="auto"/>
          <w:spacing w:val="0"/>
          <w:position w:val="0"/>
          <w:sz w:val="28"/>
          <w:shd w:fill="auto" w:val="clear"/>
        </w:rPr>
        <w:t xml:space="preserve">Про підсумки економічного і соціального розвитку </w:t>
      </w:r>
    </w:p>
    <w:p>
      <w:pPr>
        <w:suppressAutoHyphens w:val="true"/>
        <w:spacing w:before="0" w:after="0" w:line="240"/>
        <w:ind w:right="0" w:left="0" w:firstLine="0"/>
        <w:jc w:val="center"/>
        <w:rPr>
          <w:rFonts w:ascii="Times New Roman" w:hAnsi="Times New Roman" w:cs="Times New Roman" w:eastAsia="Times New Roman"/>
          <w:b/>
          <w:i/>
          <w:color w:val="auto"/>
          <w:spacing w:val="0"/>
          <w:position w:val="0"/>
          <w:sz w:val="28"/>
          <w:shd w:fill="auto" w:val="clear"/>
        </w:rPr>
      </w:pPr>
      <w:r>
        <w:rPr>
          <w:rFonts w:ascii="Times New Roman" w:hAnsi="Times New Roman" w:cs="Times New Roman" w:eastAsia="Times New Roman"/>
          <w:b/>
          <w:i/>
          <w:color w:val="auto"/>
          <w:spacing w:val="0"/>
          <w:position w:val="0"/>
          <w:sz w:val="28"/>
          <w:shd w:fill="auto" w:val="clear"/>
        </w:rPr>
        <w:t xml:space="preserve">району за  І півріччя 2020  року</w:t>
      </w:r>
    </w:p>
    <w:p>
      <w:pPr>
        <w:spacing w:before="0" w:after="0" w:line="240"/>
        <w:ind w:right="0" w:left="0" w:firstLine="0"/>
        <w:jc w:val="center"/>
        <w:rPr>
          <w:rFonts w:ascii="Times New Roman CYR" w:hAnsi="Times New Roman CYR" w:cs="Times New Roman CYR" w:eastAsia="Times New Roman CYR"/>
          <w:color w:val="auto"/>
          <w:spacing w:val="0"/>
          <w:position w:val="0"/>
          <w:sz w:val="28"/>
          <w:shd w:fill="auto" w:val="clear"/>
        </w:rPr>
      </w:pPr>
      <w:r>
        <w:rPr>
          <w:rFonts w:ascii="Times New Roman CYR" w:hAnsi="Times New Roman CYR" w:cs="Times New Roman CYR" w:eastAsia="Times New Roman CYR"/>
          <w:color w:val="auto"/>
          <w:spacing w:val="0"/>
          <w:position w:val="0"/>
          <w:sz w:val="28"/>
          <w:shd w:fill="auto" w:val="clear"/>
        </w:rPr>
        <w:t xml:space="preserve">                                           </w:t>
      </w:r>
    </w:p>
    <w:p>
      <w:pPr>
        <w:spacing w:before="0" w:after="0" w:line="240"/>
        <w:ind w:right="0" w:left="0" w:firstLine="0"/>
        <w:jc w:val="center"/>
        <w:rPr>
          <w:rFonts w:ascii="Times New Roman CYR" w:hAnsi="Times New Roman CYR" w:cs="Times New Roman CYR" w:eastAsia="Times New Roman CYR"/>
          <w:color w:val="auto"/>
          <w:spacing w:val="0"/>
          <w:position w:val="0"/>
          <w:sz w:val="28"/>
          <w:shd w:fill="auto" w:val="clear"/>
        </w:rPr>
      </w:pP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Відповідно до статей 6 і 39 Закону України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Про місцеві державні адміністрації” та розпорядження голови облдержадміністрації                                від 01.09.2020  </w:t>
      </w:r>
      <w:r>
        <w:rPr>
          <w:rFonts w:ascii="Segoe UI Symbol" w:hAnsi="Segoe UI Symbol" w:cs="Segoe UI Symbol" w:eastAsia="Segoe UI Symbol"/>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512 ,,</w:t>
      </w:r>
      <w:r>
        <w:rPr>
          <w:rFonts w:ascii="Times New Roman" w:hAnsi="Times New Roman" w:cs="Times New Roman" w:eastAsia="Times New Roman"/>
          <w:color w:val="auto"/>
          <w:spacing w:val="0"/>
          <w:position w:val="0"/>
          <w:sz w:val="28"/>
          <w:shd w:fill="auto" w:val="clear"/>
        </w:rPr>
        <w:t xml:space="preserve">Про підсумки економічного і соціального розвитку області за  І півріччя 2020  року”, враховуючи стан соціально-економічного розвитку району за І півріччя 2020  року, з метою реалізації державної регіональної політики та забезпечення поліпшення показників діяльності райдержадміністрації:</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1. </w:t>
      </w:r>
      <w:r>
        <w:rPr>
          <w:rFonts w:ascii="Times New Roman" w:hAnsi="Times New Roman" w:cs="Times New Roman" w:eastAsia="Times New Roman"/>
          <w:color w:val="auto"/>
          <w:spacing w:val="0"/>
          <w:position w:val="0"/>
          <w:sz w:val="28"/>
          <w:shd w:fill="auto" w:val="clear"/>
        </w:rPr>
        <w:t xml:space="preserve">Відділу житлово-комунального господарства, інфраструктури, енергетики та захисту довкілля  райдержадміністрації забезпечити:             </w:t>
      </w:r>
    </w:p>
    <w:p>
      <w:pPr>
        <w:suppressAutoHyphens w:val="true"/>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Arial CYR" w:hAnsi="Arial CYR" w:cs="Arial CYR" w:eastAsia="Arial CYR"/>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контроль за основними показниками роботи та вирішенням проблемних питань діяльності промислових підприємств щомісячної звітності та вчасне подання інформації департаменту економічного розвитку і торгівлі облдержадміністрації;     </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поліпшення стану розрахунків споживачів за отримані житлово-комунальні послуги та забезпечення стовідсоткової оплати суб’єктами господарювання у сфері комунального господарства спожитих енергоносіїв;</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дотримання положень Закону України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Про особливості доступу до інформації у сферах постачання електричної енергії, природного газу, теплопостачання, централізованого постачання гарячої води, централізованого питного водопостачання та водовідведення</w:t>
      </w:r>
      <w:r>
        <w:rPr>
          <w:rFonts w:ascii="Times New Roman" w:hAnsi="Times New Roman" w:cs="Times New Roman" w:eastAsia="Times New Roman"/>
          <w:color w:val="auto"/>
          <w:spacing w:val="0"/>
          <w:position w:val="0"/>
          <w:sz w:val="28"/>
          <w:shd w:fill="auto" w:val="clear"/>
        </w:rPr>
        <w:t xml:space="preserve">ˮ</w:t>
      </w:r>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виконання вимог Закону України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Про комерційний облік теплової енергії та водопостачання”, забезпечивши облаштування житлових та нежитлових будівель засобами комерційного обліку холодної води;</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розроблення та винесення на розгляд відповідних рад місцевих програм оснащення вузлами комерційного обліку житлових будівель, які на день набрання чинності Законом України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Про комерційний облік теплової енергії та водопостачання” були приєднані до зовнішніх інженерних мереж та не обладнані такими вузлами, передбачивши виділення з місцевих бюджетів коштів на реалізацію таких програм;</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виконання положень Закону України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Про житлово-комунальні послуги” стосовно визначення співвласниками багатоквартирних житлових будинків моделі організації договірних відносин з виконавцями комунальних послуг (крім послуг з постачання електричної енергії та природного газу) та укладання договорів про надання відповідних послуг;</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дотримання вимог законів України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Про особливості здійснення права власності у багатоквартирному будинку”,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Про житлово-комунальні послуги” щодо призначення управителя багатоквартирним будинком, у якому не створено об’єднання співвласників багатоквартирного будинку та співвласники якого не прийняли рішення про форму управління багатоквартирним будинком, а також щодо визначення вартості послуг з управління багатоквартирним будинком;</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контроль за дотриманням законодавства у сфері благоустрою територій населених пунктів; ліквідацією несанкціонованих сміттєзвалищ; належною роботою суб’єктів господарювання у сфері збору та вивезення ТПВ і станом місць їх видалення;</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впровадження ефективного роздільного збирання відходів та розроблення схем санітарного очищення територій населених пунктів району;</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проведення роз’яснювальної роботи з населенням щодо необхідності будівництва сміттєпереробних (сміттєсортувальних) комплексів з метою забезпечення належного санітарного стану територій населених пунктів району.</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проведення інформаційно-роз</w:t>
      </w:r>
      <w:r>
        <w:rPr>
          <w:rFonts w:ascii="Times New Roman" w:hAnsi="Times New Roman" w:cs="Times New Roman" w:eastAsia="Times New Roman"/>
          <w:color w:val="auto"/>
          <w:spacing w:val="0"/>
          <w:position w:val="0"/>
          <w:sz w:val="28"/>
          <w:shd w:fill="auto" w:val="clear"/>
        </w:rPr>
        <w:t xml:space="preserve">ʼ</w:t>
      </w:r>
      <w:r>
        <w:rPr>
          <w:rFonts w:ascii="Times New Roman" w:hAnsi="Times New Roman" w:cs="Times New Roman" w:eastAsia="Times New Roman"/>
          <w:color w:val="auto"/>
          <w:spacing w:val="0"/>
          <w:position w:val="0"/>
          <w:sz w:val="28"/>
          <w:shd w:fill="auto" w:val="clear"/>
        </w:rPr>
        <w:t xml:space="preserve">яснювальної роботи щодо державної підтримки галузей агропромислового комплексу;</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забезпечити ефективне використання коштів Державного фонду регіонального розвитку, субвенцій на підтримку розвитку об’єднаних територіальних громад та на здійснення заходів щодо соціально-економічного розвитку окремих територій.</w:t>
      </w:r>
    </w:p>
    <w:p>
      <w:pPr>
        <w:spacing w:before="0" w:after="0" w:line="240"/>
        <w:ind w:right="0" w:left="0" w:firstLine="0"/>
        <w:jc w:val="both"/>
        <w:rPr>
          <w:rFonts w:ascii="Arial CYR" w:hAnsi="Arial CYR" w:cs="Arial CYR" w:eastAsia="Arial CYR"/>
          <w:color w:val="auto"/>
          <w:spacing w:val="0"/>
          <w:position w:val="0"/>
          <w:sz w:val="16"/>
          <w:shd w:fill="auto" w:val="clear"/>
        </w:rPr>
      </w:pPr>
      <w:r>
        <w:rPr>
          <w:rFonts w:ascii="Times New Roman" w:hAnsi="Times New Roman" w:cs="Times New Roman" w:eastAsia="Times New Roman"/>
          <w:color w:val="auto"/>
          <w:spacing w:val="0"/>
          <w:position w:val="0"/>
          <w:sz w:val="28"/>
          <w:shd w:fill="auto" w:val="clear"/>
        </w:rPr>
        <w:t xml:space="preserve">           2.</w:t>
      </w:r>
      <w:r>
        <w:rPr>
          <w:rFonts w:ascii="Times New Roman" w:hAnsi="Times New Roman" w:cs="Times New Roman" w:eastAsia="Times New Roman"/>
          <w:color w:val="auto"/>
          <w:spacing w:val="0"/>
          <w:position w:val="0"/>
          <w:sz w:val="28"/>
          <w:shd w:fill="auto" w:val="clear"/>
        </w:rPr>
        <w:t xml:space="preserve">Відділу житлово-комунального господарства, інфраструктури, енергетики та захисту довкілля райдержадміністрації спільно з відділом освіти  райдержадміністрації забезпечити подання пропозицій щодо формування переліку об’єктів реконструкції чи нового будівництва у сферах освіти, охорони здоров’я, спортивної інфраструктури та культури, які реалізовуватимуться у 2021 році   в районі  у рамках Програми Президента України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Велике будівництво”.            </w:t>
      </w:r>
    </w:p>
    <w:p>
      <w:pPr>
        <w:suppressAutoHyphens w:val="true"/>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Arial CYR" w:hAnsi="Arial CYR" w:cs="Arial CYR" w:eastAsia="Arial CYR"/>
          <w:color w:val="auto"/>
          <w:spacing w:val="0"/>
          <w:position w:val="0"/>
          <w:sz w:val="16"/>
          <w:shd w:fill="auto" w:val="clear"/>
        </w:rPr>
        <w:t xml:space="preserve">     </w:t>
      </w:r>
      <w:r>
        <w:rPr>
          <w:rFonts w:ascii="Times New Roman" w:hAnsi="Times New Roman" w:cs="Times New Roman" w:eastAsia="Times New Roman"/>
          <w:color w:val="auto"/>
          <w:spacing w:val="0"/>
          <w:position w:val="0"/>
          <w:sz w:val="28"/>
          <w:shd w:fill="auto" w:val="clear"/>
        </w:rPr>
        <w:t xml:space="preserve">3.</w:t>
      </w:r>
      <w:r>
        <w:rPr>
          <w:rFonts w:ascii="Times New Roman" w:hAnsi="Times New Roman" w:cs="Times New Roman" w:eastAsia="Times New Roman"/>
          <w:color w:val="auto"/>
          <w:spacing w:val="0"/>
          <w:position w:val="0"/>
          <w:sz w:val="28"/>
          <w:shd w:fill="auto" w:val="clear"/>
        </w:rPr>
        <w:t xml:space="preserve">Управлінню соціального захисту населення райдержадміністрації:  </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передбачити у місцевих бюджетах необхідні кошти для виплати компенсації за пільговий проїзд окремих категорій громадян транспортом загального користування;</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вжити заходи щодо своєчасної виплати заробітної плати працівникам підприємств області та запобігання виникненню заборгованості із заробітної плати працівникам галузі та сплати єдиного соціального внеску;</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забезпечити протягом року у повному обсязі використання коштів за бюджетною програмою (КПКВК 2507030)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Заходи із соціальної, трудової та професійної реабілітації осіб з інвалідністю” за напрямами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Забезпечення окремих категорій населення України технічними та іншими засобами реабілітації” та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Санаторно-курортне оздоровлення осіб з інвалідністю”;</w:t>
      </w:r>
    </w:p>
    <w:p>
      <w:pPr>
        <w:suppressAutoHyphens w:val="true"/>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Arial CYR" w:hAnsi="Arial CYR" w:cs="Arial CYR" w:eastAsia="Arial CYR"/>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здійснювати протягом року постійний контроль за сумісністю технічних засобів реабілітації відповідно до наказу Міністерства соціальної політики України від 11.04.2017 </w:t>
      </w:r>
      <w:r>
        <w:rPr>
          <w:rFonts w:ascii="Segoe UI Symbol" w:hAnsi="Segoe UI Symbol" w:cs="Segoe UI Symbol" w:eastAsia="Segoe UI Symbol"/>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602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Про затвердження Порядку призначення технічних засобів реабілітації відповідно до функціональних можливостей особи з інвалідністю, дитини з інвалідністю, постраждалого внаслідок антитерористичної операції”, зареєстрованого в Міністерстві юстиції України 05 травня 2017 року за </w:t>
      </w:r>
      <w:r>
        <w:rPr>
          <w:rFonts w:ascii="Segoe UI Symbol" w:hAnsi="Segoe UI Symbol" w:cs="Segoe UI Symbol" w:eastAsia="Segoe UI Symbol"/>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570/30438;</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здійснювати протягом року своєчасне внесення інформації у централізований банк даних з проблем інвалідності щодо зняття з обліку особи;</w:t>
      </w:r>
    </w:p>
    <w:p>
      <w:pPr>
        <w:suppressAutoHyphens w:val="true"/>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забезпечувати протягом року осіб з інвалідністю, дітей з інвалідністю, інших окремих категорій громадян технічними та іншими засобами реабілітації, виплати грошової компенсації вартості за самостійно придбані технічні засоби реабілітації, надання послуг з післягарантійного ремонту технічних та інших засобів реабілітації відповідно до постанови Кабінету Міністрів України від                  5 квітня 2012 року </w:t>
      </w:r>
      <w:r>
        <w:rPr>
          <w:rFonts w:ascii="Segoe UI Symbol" w:hAnsi="Segoe UI Symbol" w:cs="Segoe UI Symbol" w:eastAsia="Segoe UI Symbol"/>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321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Про затвердження Порядку забезпечення технічними та іншими засобами реабілітації осіб з інвалідністю, дітей з інвалідністю та інших окремих категорій населення і виплати грошової компенсації вартості за самостійно придбані технічні засоби реабілітації, переліків таких засобів”;</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забезпечувати протягом року своєчасне призначення та виплату  соціальних допомог, призначення субсидій, пільг відповідно до вимог чинного законодавства без порушення термінів призначення.</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4.</w:t>
      </w:r>
      <w:r>
        <w:rPr>
          <w:rFonts w:ascii="Times New Roman" w:hAnsi="Times New Roman" w:cs="Times New Roman" w:eastAsia="Times New Roman"/>
          <w:color w:val="auto"/>
          <w:spacing w:val="0"/>
          <w:position w:val="0"/>
          <w:sz w:val="28"/>
          <w:shd w:fill="auto" w:val="clear"/>
        </w:rPr>
        <w:t xml:space="preserve">Структурним підрозділам райдержадміністрації (розпорядникам коштів) забезпечити: </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здійснення аналізу стану фінансово-бюджетної дисципліни в установах та організаціях, що належать до сфери їх управління, за матеріалами контрольних заходів, які були проведені управлінням Західного офісу Держаудитслужби                                          в Закарпатській області у січні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червні 2020 року;</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проведення розрахунку реальної потреби закупівель товарів, робіт і послуг із врахуванням норм, цін, лімітів тощо на стадії її планування;</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здійснення закупівель товарів, робіт і послуг за бюджетні кошти відкрито, прозоро та відповідно до вимог чинного законодавства. </w:t>
      </w:r>
    </w:p>
    <w:p>
      <w:pPr>
        <w:suppressAutoHyphens w:val="true"/>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5. </w:t>
      </w:r>
      <w:r>
        <w:rPr>
          <w:rFonts w:ascii="Times New Roman" w:hAnsi="Times New Roman" w:cs="Times New Roman" w:eastAsia="Times New Roman"/>
          <w:color w:val="auto"/>
          <w:spacing w:val="0"/>
          <w:position w:val="0"/>
          <w:sz w:val="28"/>
          <w:shd w:fill="auto" w:val="clear"/>
        </w:rPr>
        <w:t xml:space="preserve">Відділу освіти  райдержадміністрації забезпечити:</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вжиття заходів щодо охоплення дітей віком від трьох до п</w:t>
      </w:r>
      <w:r>
        <w:rPr>
          <w:rFonts w:ascii="Times New Roman" w:hAnsi="Times New Roman" w:cs="Times New Roman" w:eastAsia="Times New Roman"/>
          <w:color w:val="auto"/>
          <w:spacing w:val="0"/>
          <w:position w:val="0"/>
          <w:sz w:val="28"/>
          <w:shd w:fill="auto" w:val="clear"/>
        </w:rPr>
        <w:t xml:space="preserve">ʼ</w:t>
      </w:r>
      <w:r>
        <w:rPr>
          <w:rFonts w:ascii="Times New Roman" w:hAnsi="Times New Roman" w:cs="Times New Roman" w:eastAsia="Times New Roman"/>
          <w:color w:val="auto"/>
          <w:spacing w:val="0"/>
          <w:position w:val="0"/>
          <w:sz w:val="28"/>
          <w:shd w:fill="auto" w:val="clear"/>
        </w:rPr>
        <w:t xml:space="preserve">яти років дошкільною освітою; </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охоплення дітей з особливими освітніми потребами (крім дітей, яким протипоказано відвідувати заклади освіти за станом здоров’я) інклюзивним навчанням;</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продовження роботи з реформування мережі закладів освіти, зокрема щодо розширення мережі опорних закладів загальної середньої освіти відповідно до вимог законодавства;</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організацію підвезення учнів до закладів загальної середньої освіти шкільним автобусом.</w:t>
      </w:r>
    </w:p>
    <w:p>
      <w:pPr>
        <w:suppressAutoHyphens w:val="true"/>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6. </w:t>
      </w:r>
      <w:r>
        <w:rPr>
          <w:rFonts w:ascii="Times New Roman" w:hAnsi="Times New Roman" w:cs="Times New Roman" w:eastAsia="Times New Roman"/>
          <w:color w:val="auto"/>
          <w:spacing w:val="0"/>
          <w:position w:val="0"/>
          <w:sz w:val="28"/>
          <w:shd w:fill="auto" w:val="clear"/>
        </w:rPr>
        <w:t xml:space="preserve">Фінансовому управлінню райдержадміністрації забезпечити:</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у місцевих бюджетах на 2020 рік необхідні кошти для фінансування діючих програм з енергоефективності та забезпечення фінансування нових місцевих програм з енергоефективності на 2020 та інші роки;</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проведення інвентаризації укладених договорів оренди землі та майна на предмет відповідності розміру орендної плати вимогам нормативних документів, своєчасності та повноти виконання договірних зобов’язань для наповнення дохідної частини бюджету.</w:t>
      </w:r>
    </w:p>
    <w:p>
      <w:pPr>
        <w:suppressAutoHyphens w:val="true"/>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7. </w:t>
      </w:r>
      <w:r>
        <w:rPr>
          <w:rFonts w:ascii="Times New Roman" w:hAnsi="Times New Roman" w:cs="Times New Roman" w:eastAsia="Times New Roman"/>
          <w:color w:val="auto"/>
          <w:spacing w:val="0"/>
          <w:position w:val="0"/>
          <w:sz w:val="28"/>
          <w:shd w:fill="auto" w:val="clear"/>
        </w:rPr>
        <w:t xml:space="preserve">Фінансовому управлінню райдержадміністрації спільно з  ГУ ДПС у Закарпатській області здійснити аналіз надходжень до місцевих бюджетів за січень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червень 2020 року щодо усіх джерел та вжити заходи щодо сплати недоїмки з платежів, яка утворилася станом на 1 липня 2020 року, для забезпечення запланованого обсягу надходжень (доходів) місцевих бюджетів та виявлення потенціалу щодо підвищення їх рівня. </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8. </w:t>
      </w:r>
      <w:r>
        <w:rPr>
          <w:rFonts w:ascii="Times New Roman" w:hAnsi="Times New Roman" w:cs="Times New Roman" w:eastAsia="Times New Roman"/>
          <w:color w:val="auto"/>
          <w:spacing w:val="0"/>
          <w:position w:val="0"/>
          <w:sz w:val="28"/>
          <w:shd w:fill="auto" w:val="clear"/>
        </w:rPr>
        <w:t xml:space="preserve">Службі у справах дітей райдержадміністрації активізувати роботу щодо придбання житла дітям-сиротам, дітям, позбавленим батьківського піклування, особам з їх числа за рахунок коштів субвенції, яку було виділено у 2019  році, та здійснити організаційні заходи щодо придбання житла вищезгаданої категорії дітей за рахунок коштів субвенції, яку буде виділено у 2020 році, до 1 жовтня 2020 року</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9. </w:t>
      </w:r>
      <w:r>
        <w:rPr>
          <w:rFonts w:ascii="Times New Roman" w:hAnsi="Times New Roman" w:cs="Times New Roman" w:eastAsia="Times New Roman"/>
          <w:color w:val="auto"/>
          <w:spacing w:val="0"/>
          <w:position w:val="0"/>
          <w:sz w:val="28"/>
          <w:shd w:fill="auto" w:val="clear"/>
        </w:rPr>
        <w:t xml:space="preserve">Сектору з питань оборонної роботи, цивільного захисту та взаємодії з правоохоронними органами райдержадміністрації забезпечити:</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перегляд номенклатури та обсяги матеріальних резервів з урахуванням прогнозованих для району видів та рівня надзвичайних ситуацій, обсягів робіт з ліквідації їх наслідків, розмірів заподіяних збитків, обсягів забезпечення життєдіяльності постраждалого населення до жовтня 2020 року;</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виконання протягом 2020 року заходів щодо поповнення місцевих матеріальних резервів для запобігання виникненню і ліквідації надзвичайних ситуацій та їх наслідків згідно із затвердженою номенклатурою.</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10.</w:t>
      </w:r>
      <w:r>
        <w:rPr>
          <w:rFonts w:ascii="Times New Roman" w:hAnsi="Times New Roman" w:cs="Times New Roman" w:eastAsia="Times New Roman"/>
          <w:color w:val="auto"/>
          <w:spacing w:val="0"/>
          <w:position w:val="0"/>
          <w:sz w:val="28"/>
          <w:shd w:fill="auto" w:val="clear"/>
        </w:rPr>
        <w:t xml:space="preserve">Мукачівському об'єднаному управління Пенсійного фонду України Закарпатської області пропонувати:</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забезпечення стабільного фінансування пенсійних виплат у визначені законом терміни та виконання показників із надходження власних коштів до бюджету Пенсійного фонду району;</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посилити взаємодію з органами виконавчої влади та органами місцевого самоврядування, правоохоронними та контролюючими органами, сторонами соціального діалогу, спрямовану на забезпечення виконання планових завдань із надходження коштів до бюджету Пенсійного фонду України, скорочення заборгованості за платежами та реалізацію заходів щодо легалізації оплати праці і зайнятості населення.</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11.</w:t>
      </w:r>
      <w:r>
        <w:rPr>
          <w:rFonts w:ascii="Times New Roman" w:hAnsi="Times New Roman" w:cs="Times New Roman" w:eastAsia="Times New Roman"/>
          <w:color w:val="auto"/>
          <w:spacing w:val="0"/>
          <w:position w:val="0"/>
          <w:sz w:val="28"/>
          <w:shd w:fill="auto" w:val="clear"/>
        </w:rPr>
        <w:t xml:space="preserve">Структурним підрозділам райдержадміністрації інформувати відділ житлово-комунального господарства, інфраструктури, енергетики та захисту довкілля  райдержадміністрації до 30 жовтня 2020  року про хід виконання завдань, визначених цим розпорядженням. </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12.</w:t>
      </w:r>
      <w:r>
        <w:rPr>
          <w:rFonts w:ascii="Times New Roman" w:hAnsi="Times New Roman" w:cs="Times New Roman" w:eastAsia="Times New Roman"/>
          <w:color w:val="auto"/>
          <w:spacing w:val="0"/>
          <w:position w:val="0"/>
          <w:sz w:val="28"/>
          <w:shd w:fill="auto" w:val="clear"/>
        </w:rPr>
        <w:t xml:space="preserve">Контроль за виконанням цього розпорядження залишаю за собою.</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uppressAutoHyphens w:val="true"/>
        <w:spacing w:before="0" w:after="0" w:line="240"/>
        <w:ind w:right="-425"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В. о. голови державної адміністрації      Василь ЧИГРИНСЬКИЙ</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embeddings/oleObject0.bin" Id="docRId0" Type="http://schemas.openxmlformats.org/officeDocument/2006/relationships/oleObject" /><Relationship Target="media/image0.wmf" Id="docRId1" Type="http://schemas.openxmlformats.org/officeDocument/2006/relationships/image" /><Relationship Target="numbering.xml" Id="docRId2" Type="http://schemas.openxmlformats.org/officeDocument/2006/relationships/numbering" /><Relationship Target="styles.xml" Id="docRId3" Type="http://schemas.openxmlformats.org/officeDocument/2006/relationships/styles" /></Relationships>
</file>